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DB0" w:rsidRDefault="008B5DB0" w:rsidP="008B5DB0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DB0" w:rsidRDefault="008B5DB0" w:rsidP="008B5DB0">
      <w:pPr>
        <w:pStyle w:val="Intestazione"/>
        <w:rPr>
          <w:sz w:val="20"/>
        </w:rPr>
      </w:pPr>
      <w:r>
        <w:rPr>
          <w:rFonts w:ascii="Monotype Corsiva" w:hAnsi="Monotype Corsiva" w:cs="Monotype Corsiva"/>
          <w:sz w:val="20"/>
        </w:rPr>
        <w:t>Ministero dell'Istruzione e del Merito</w:t>
      </w:r>
    </w:p>
    <w:p w:rsidR="008B5DB0" w:rsidRDefault="008B5DB0" w:rsidP="008B5DB0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8B5DB0" w:rsidRDefault="008B5DB0" w:rsidP="008B5DB0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8B5DB0" w:rsidRDefault="008B5DB0" w:rsidP="008B5DB0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12288C" w:rsidRDefault="008B5D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40" w:lineRule="auto"/>
        <w:ind w:right="3252"/>
        <w:jc w:val="right"/>
        <w:rPr>
          <w:rFonts w:ascii="Times" w:eastAsia="Times" w:hAnsi="Times" w:cs="Times"/>
          <w:b/>
          <w:color w:val="00000A"/>
          <w:sz w:val="28"/>
          <w:szCs w:val="28"/>
        </w:rPr>
      </w:pPr>
      <w:bookmarkStart w:id="0" w:name="_GoBack"/>
      <w:bookmarkEnd w:id="0"/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CLASSE PRIMA- SECONDA - TERZA - SECONDARIA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12288C" w:rsidRDefault="008B5D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line="240" w:lineRule="auto"/>
        <w:ind w:right="5864"/>
        <w:jc w:val="right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GEOGRAFIA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12288C" w:rsidRDefault="008B5DB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3" w:line="240" w:lineRule="auto"/>
        <w:ind w:right="413"/>
        <w:jc w:val="right"/>
        <w:rPr>
          <w:rFonts w:ascii="Times" w:eastAsia="Times" w:hAnsi="Times" w:cs="Times"/>
          <w:b/>
          <w:color w:val="00000A"/>
          <w:sz w:val="24"/>
          <w:szCs w:val="24"/>
        </w:rPr>
      </w:pPr>
      <w:r>
        <w:rPr>
          <w:rFonts w:ascii="Times" w:eastAsia="Times" w:hAnsi="Times" w:cs="Times"/>
          <w:b/>
          <w:color w:val="00000A"/>
          <w:sz w:val="24"/>
          <w:szCs w:val="24"/>
        </w:rPr>
        <w:t>VALUTAZIONE DEL LIVELLO DI COMPETENZA RAGGIUNTO - COMPETENZA DA VALUTARE/CERTIFICARE</w:t>
      </w:r>
    </w:p>
    <w:tbl>
      <w:tblPr>
        <w:tblStyle w:val="a"/>
        <w:tblW w:w="1388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08"/>
        <w:gridCol w:w="2684"/>
        <w:gridCol w:w="2828"/>
        <w:gridCol w:w="2822"/>
        <w:gridCol w:w="3246"/>
      </w:tblGrid>
      <w:tr w:rsidR="0012288C">
        <w:trPr>
          <w:trHeight w:val="967"/>
        </w:trPr>
        <w:tc>
          <w:tcPr>
            <w:tcW w:w="2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COMPETENZA </w:t>
            </w:r>
          </w:p>
        </w:tc>
        <w:tc>
          <w:tcPr>
            <w:tcW w:w="2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6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iniziale</w:t>
            </w:r>
          </w:p>
        </w:tc>
        <w:tc>
          <w:tcPr>
            <w:tcW w:w="2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7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base</w:t>
            </w:r>
          </w:p>
        </w:tc>
        <w:tc>
          <w:tcPr>
            <w:tcW w:w="2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8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intermedio</w:t>
            </w:r>
          </w:p>
        </w:tc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9/ 10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livello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 avanzato</w:t>
            </w:r>
          </w:p>
        </w:tc>
      </w:tr>
      <w:tr w:rsidR="0012288C">
        <w:trPr>
          <w:trHeight w:val="1594"/>
        </w:trPr>
        <w:tc>
          <w:tcPr>
            <w:tcW w:w="2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87" w:right="164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1. ORIENTARSI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E  COLLOCARE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right="248"/>
              <w:jc w:val="right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NELLO SPAZIO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79"/>
              <w:jc w:val="right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ELEMENTI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06"/>
              <w:jc w:val="right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NATURALI ED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ANTROPICI</w:t>
            </w:r>
          </w:p>
        </w:tc>
        <w:tc>
          <w:tcPr>
            <w:tcW w:w="2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Ha una conoscenza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frammentaria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degli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0" w:right="23" w:firstLine="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elementi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che compongono  un territorio, un ambiente</w:t>
            </w:r>
          </w:p>
        </w:tc>
        <w:tc>
          <w:tcPr>
            <w:tcW w:w="2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Ha una conoscenza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4" w:right="29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essenziale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degli elementi  che compongono un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7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territorio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, un ambiente</w:t>
            </w:r>
          </w:p>
        </w:tc>
        <w:tc>
          <w:tcPr>
            <w:tcW w:w="2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Ha una conoscenza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82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consapevole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degli elementi  che compongono un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6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territorio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, un ambiente</w:t>
            </w:r>
          </w:p>
        </w:tc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4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Ha una conoscenza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1" w:right="47" w:firstLine="6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approfondita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e consapevole  degli elementi che compongono  un territorio, un ambiente</w:t>
            </w:r>
          </w:p>
        </w:tc>
      </w:tr>
      <w:tr w:rsidR="0012288C">
        <w:trPr>
          <w:trHeight w:val="2285"/>
        </w:trPr>
        <w:tc>
          <w:tcPr>
            <w:tcW w:w="2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5" w:right="8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DECODIFICARE  DATI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, MAPPE,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30" w:lineRule="auto"/>
              <w:ind w:left="114" w:right="-11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CARTE E SAPERLI ESPORRE</w:t>
            </w:r>
          </w:p>
        </w:tc>
        <w:tc>
          <w:tcPr>
            <w:tcW w:w="2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Usa gli strumenti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geografici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in modo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9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incerto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. E rielabora,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se  guidato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, le principali  informazioni. Espone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le  sue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conoscenze solo con il  supporto di mappe e/o  appunti</w:t>
            </w:r>
          </w:p>
        </w:tc>
        <w:tc>
          <w:tcPr>
            <w:tcW w:w="2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1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Usa gli strumenti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geografici  in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modo elementare.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72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Rielabora in maniera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4" w:right="10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essenziale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i contenuti,  esponendoli con semplicità.</w:t>
            </w:r>
          </w:p>
        </w:tc>
        <w:tc>
          <w:tcPr>
            <w:tcW w:w="2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68" w:right="10" w:firstLine="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Usa gli strumenti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geografici  dimostrando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padronanza.  Rielabora in maniera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sicura  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contenuti, e li espone  usando un lessico proprio.</w:t>
            </w:r>
          </w:p>
        </w:tc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2" w:right="2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Usa gli strumenti geografici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con  disinvoltura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e padronanza.  Riel</w:t>
            </w: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abora in maniera sicura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  approfondita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i contenuti, e li  espone in modo esperto.</w:t>
            </w:r>
          </w:p>
        </w:tc>
      </w:tr>
      <w:tr w:rsidR="0012288C">
        <w:trPr>
          <w:trHeight w:val="2285"/>
        </w:trPr>
        <w:tc>
          <w:tcPr>
            <w:tcW w:w="23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2" w:right="-33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lastRenderedPageBreak/>
              <w:t xml:space="preserve">3. INTERPRETARE, IN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SITUAZIONI  REALI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 xml:space="preserve">,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30" w:lineRule="auto"/>
              <w:ind w:left="111" w:right="62"/>
              <w:jc w:val="center"/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L'INTERAZIONE  UOMO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  <w:sz w:val="24"/>
                <w:szCs w:val="24"/>
              </w:rPr>
              <w:t>/AMBIENTE</w:t>
            </w:r>
          </w:p>
        </w:tc>
        <w:tc>
          <w:tcPr>
            <w:tcW w:w="26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71" w:right="31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Utilizza in modo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semplice  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documenti, con l'aiuto  dell'insegnante e dei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30" w:lineRule="auto"/>
              <w:ind w:left="71" w:right="38" w:firstLine="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compagni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, ricavandone  conoscenze frammentarie.  Fatica ad esprimere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77" w:right="-24" w:hanging="7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riflessioni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personali se non aiutato</w:t>
            </w:r>
          </w:p>
        </w:tc>
        <w:tc>
          <w:tcPr>
            <w:tcW w:w="2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Ricava conoscenze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69" w:right="-36" w:firstLine="4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essenziali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dai documenti  analizzati e, pur con qualche difficoltà, riesce a cogliere i  contesti. La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riflessione  personale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è superficiale</w:t>
            </w:r>
          </w:p>
        </w:tc>
        <w:tc>
          <w:tcPr>
            <w:tcW w:w="2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69" w:right="18" w:firstLine="3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Conosce adeguatamente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  sa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descrivere i contenuti  analizzati, aggiungendo  talvolta commenti personali  appropriati</w:t>
            </w:r>
          </w:p>
        </w:tc>
        <w:tc>
          <w:tcPr>
            <w:tcW w:w="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81" w:right="251" w:hanging="5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Conosce approfonditamente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e  sa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descrivere i contenuti  </w:t>
            </w:r>
          </w:p>
          <w:p w:rsidR="0012288C" w:rsidRDefault="008B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30" w:lineRule="auto"/>
              <w:ind w:left="75" w:right="26" w:firstLine="2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analizzati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. Dimostra anche </w:t>
            </w:r>
            <w:proofErr w:type="gramStart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una  capacità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 xml:space="preserve"> di riflessione critica sui  contesti analizzati</w:t>
            </w:r>
          </w:p>
        </w:tc>
      </w:tr>
    </w:tbl>
    <w:p w:rsidR="0012288C" w:rsidRDefault="0012288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2288C" w:rsidRDefault="0012288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12288C">
      <w:pgSz w:w="16820" w:h="11900" w:orient="landscape"/>
      <w:pgMar w:top="686" w:right="1531" w:bottom="2005" w:left="14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8C"/>
    <w:rsid w:val="0012288C"/>
    <w:rsid w:val="008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EF339-2E77-43DF-BDCE-03709C89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semiHidden/>
    <w:unhideWhenUsed/>
    <w:rsid w:val="008B5DB0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8B5DB0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B5DB0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5DB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>HP Inc.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2023-07-03T06:00:00Z</dcterms:created>
  <dcterms:modified xsi:type="dcterms:W3CDTF">2023-07-03T06:01:00Z</dcterms:modified>
</cp:coreProperties>
</file>