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A96" w:rsidRDefault="00813A96" w:rsidP="00813A96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533400" cy="5334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" t="-84" r="-96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A96" w:rsidRDefault="00813A96" w:rsidP="00813A96">
      <w:pPr>
        <w:pStyle w:val="Intestazione"/>
        <w:rPr>
          <w:sz w:val="20"/>
        </w:rPr>
      </w:pPr>
      <w:r>
        <w:rPr>
          <w:rFonts w:ascii="Monotype Corsiva" w:hAnsi="Monotype Corsiva" w:cs="Monotype Corsiva"/>
          <w:sz w:val="20"/>
        </w:rPr>
        <w:t>Ministero dell'Istruzione e del Merito</w:t>
      </w:r>
    </w:p>
    <w:p w:rsidR="00813A96" w:rsidRDefault="00813A96" w:rsidP="00813A96">
      <w:pPr>
        <w:pStyle w:val="Intestazione"/>
      </w:pPr>
      <w:r>
        <w:rPr>
          <w:rFonts w:ascii="Verdana" w:hAnsi="Verdana" w:cs="Verdana"/>
          <w:b w:val="0"/>
          <w:bCs w:val="0"/>
          <w:sz w:val="16"/>
          <w:szCs w:val="16"/>
        </w:rPr>
        <w:t>ISTITUTO COMPRENSIVO “RITA LEVI-MONTALCINI”</w:t>
      </w:r>
    </w:p>
    <w:p w:rsidR="00813A96" w:rsidRDefault="00813A96" w:rsidP="00813A96">
      <w:pPr>
        <w:jc w:val="center"/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</w:t>
      </w:r>
      <w:proofErr w:type="spellStart"/>
      <w:r>
        <w:rPr>
          <w:rFonts w:ascii="Verdana" w:hAnsi="Verdana" w:cs="Verdana"/>
          <w:b/>
          <w:bCs/>
          <w:sz w:val="16"/>
          <w:szCs w:val="16"/>
        </w:rPr>
        <w:t>Bs</w:t>
      </w:r>
      <w:proofErr w:type="spellEnd"/>
      <w:r>
        <w:rPr>
          <w:rFonts w:ascii="Verdana" w:hAnsi="Verdana" w:cs="Verdana"/>
          <w:b/>
          <w:bCs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 xml:space="preserve"> C.F.80052640176</w:t>
      </w:r>
    </w:p>
    <w:p w:rsidR="00813A96" w:rsidRDefault="00813A96" w:rsidP="00813A96">
      <w:pPr>
        <w:jc w:val="center"/>
      </w:pPr>
      <w:proofErr w:type="gramStart"/>
      <w:r>
        <w:rPr>
          <w:rFonts w:ascii="Tahoma" w:hAnsi="Tahoma" w:cs="Tahoma"/>
          <w:sz w:val="16"/>
          <w:szCs w:val="16"/>
        </w:rPr>
        <w:t>www.iciseo.edu.it  e-mail</w:t>
      </w:r>
      <w:proofErr w:type="gramEnd"/>
      <w:r>
        <w:rPr>
          <w:rFonts w:ascii="Tahoma" w:hAnsi="Tahoma" w:cs="Tahoma"/>
          <w:sz w:val="16"/>
          <w:szCs w:val="16"/>
        </w:rPr>
        <w:t xml:space="preserve">: </w:t>
      </w:r>
      <w:hyperlink r:id="rId5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6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 </w:t>
      </w:r>
    </w:p>
    <w:p w:rsidR="00597487" w:rsidRDefault="00813A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9" w:line="240" w:lineRule="auto"/>
        <w:ind w:left="3678"/>
        <w:rPr>
          <w:rFonts w:ascii="Times" w:eastAsia="Times" w:hAnsi="Times" w:cs="Times"/>
          <w:b/>
          <w:color w:val="00000A"/>
          <w:sz w:val="28"/>
          <w:szCs w:val="28"/>
        </w:rPr>
      </w:pPr>
      <w:bookmarkStart w:id="0" w:name="_GoBack"/>
      <w:bookmarkEnd w:id="0"/>
      <w:r>
        <w:rPr>
          <w:rFonts w:ascii="Times" w:eastAsia="Times" w:hAnsi="Times" w:cs="Times"/>
          <w:b/>
          <w:color w:val="00000A"/>
          <w:sz w:val="28"/>
          <w:szCs w:val="28"/>
          <w:u w:val="single"/>
        </w:rPr>
        <w:t>CLASSE PRIMA- SECONDA - TERZA - SECONDARIA</w:t>
      </w:r>
      <w:r>
        <w:rPr>
          <w:rFonts w:ascii="Times" w:eastAsia="Times" w:hAnsi="Times" w:cs="Times"/>
          <w:b/>
          <w:color w:val="00000A"/>
          <w:sz w:val="28"/>
          <w:szCs w:val="28"/>
        </w:rPr>
        <w:t xml:space="preserve"> </w:t>
      </w:r>
    </w:p>
    <w:p w:rsidR="00597487" w:rsidRDefault="00813A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0" w:lineRule="auto"/>
        <w:ind w:left="5727"/>
        <w:rPr>
          <w:rFonts w:ascii="Times" w:eastAsia="Times" w:hAnsi="Times" w:cs="Times"/>
          <w:b/>
          <w:color w:val="00000A"/>
          <w:sz w:val="28"/>
          <w:szCs w:val="28"/>
        </w:rPr>
      </w:pPr>
      <w:r>
        <w:rPr>
          <w:rFonts w:ascii="Times" w:eastAsia="Times" w:hAnsi="Times" w:cs="Times"/>
          <w:b/>
          <w:color w:val="00000A"/>
          <w:sz w:val="28"/>
          <w:szCs w:val="28"/>
          <w:u w:val="single"/>
        </w:rPr>
        <w:t>LINGUA STRANIERA</w:t>
      </w:r>
      <w:r>
        <w:rPr>
          <w:rFonts w:ascii="Times" w:eastAsia="Times" w:hAnsi="Times" w:cs="Times"/>
          <w:b/>
          <w:color w:val="00000A"/>
          <w:sz w:val="28"/>
          <w:szCs w:val="28"/>
        </w:rPr>
        <w:t xml:space="preserve"> </w:t>
      </w:r>
    </w:p>
    <w:p w:rsidR="00597487" w:rsidRDefault="00813A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5" w:line="240" w:lineRule="auto"/>
        <w:ind w:left="822"/>
        <w:rPr>
          <w:rFonts w:ascii="Times" w:eastAsia="Times" w:hAnsi="Times" w:cs="Times"/>
          <w:b/>
          <w:color w:val="00000A"/>
          <w:sz w:val="24"/>
          <w:szCs w:val="24"/>
        </w:rPr>
      </w:pPr>
      <w:r>
        <w:rPr>
          <w:rFonts w:ascii="Times" w:eastAsia="Times" w:hAnsi="Times" w:cs="Times"/>
          <w:b/>
          <w:color w:val="00000A"/>
          <w:sz w:val="24"/>
          <w:szCs w:val="24"/>
        </w:rPr>
        <w:t>VALUTAZIONE DEL LIVELLO DI COMPETENZA RAGGIUNTO - COMPETENZA DA VALUTARE/CERTIFICARE</w:t>
      </w:r>
    </w:p>
    <w:tbl>
      <w:tblPr>
        <w:tblStyle w:val="a"/>
        <w:tblW w:w="1471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54"/>
        <w:gridCol w:w="3191"/>
        <w:gridCol w:w="3187"/>
        <w:gridCol w:w="3187"/>
        <w:gridCol w:w="3192"/>
      </w:tblGrid>
      <w:tr w:rsidR="00597487">
        <w:trPr>
          <w:trHeight w:val="527"/>
        </w:trPr>
        <w:tc>
          <w:tcPr>
            <w:tcW w:w="1470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>COMPETENZE CHIAVE</w:t>
            </w:r>
          </w:p>
        </w:tc>
      </w:tr>
      <w:tr w:rsidR="00597487">
        <w:trPr>
          <w:trHeight w:val="1301"/>
        </w:trPr>
        <w:tc>
          <w:tcPr>
            <w:tcW w:w="1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35" w:right="47" w:hanging="17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DIMENSIONI </w:t>
            </w:r>
            <w:proofErr w:type="gramStart"/>
            <w:r>
              <w:rPr>
                <w:rFonts w:ascii="Times" w:eastAsia="Times" w:hAnsi="Times" w:cs="Times"/>
                <w:b/>
                <w:color w:val="00000A"/>
              </w:rPr>
              <w:t>DI  COMPETENZA</w:t>
            </w:r>
            <w:proofErr w:type="gramEnd"/>
          </w:p>
        </w:tc>
        <w:tc>
          <w:tcPr>
            <w:tcW w:w="12756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32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1) COMPRENSIONE DEL CONTESTO OPERATIVO </w:t>
            </w:r>
          </w:p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40" w:lineRule="auto"/>
              <w:ind w:left="822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2) PORTARE A COMPIMENTO IL LAVORO </w:t>
            </w:r>
          </w:p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 w:line="240" w:lineRule="auto"/>
              <w:ind w:left="821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3) RESPONSABILITÀ E COLLABORAZIONE </w:t>
            </w:r>
          </w:p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ind w:left="822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4) MODALITÀ DI PRESENTAZIONE DELL’ELABORATO</w:t>
            </w:r>
          </w:p>
        </w:tc>
      </w:tr>
      <w:tr w:rsidR="00597487">
        <w:trPr>
          <w:trHeight w:val="544"/>
        </w:trPr>
        <w:tc>
          <w:tcPr>
            <w:tcW w:w="1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LIVELLI </w:t>
            </w: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AVANZATO: 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INTERMEDIO: 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BASE: </w:t>
            </w:r>
          </w:p>
        </w:tc>
        <w:tc>
          <w:tcPr>
            <w:tcW w:w="3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>INIZIALE:</w:t>
            </w:r>
          </w:p>
        </w:tc>
      </w:tr>
      <w:tr w:rsidR="00597487">
        <w:trPr>
          <w:trHeight w:val="1243"/>
        </w:trPr>
        <w:tc>
          <w:tcPr>
            <w:tcW w:w="1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1</w:t>
            </w: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25" w:right="50" w:hanging="4"/>
              <w:jc w:val="both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Comprende il testo e lo analizza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in  modo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 critico trovando la situazione  più opportuna di risoluzione e lo  arricchisce con documenti utili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 w:right="49" w:hanging="7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Comprende il testo nelle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diverse  fasi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 risolutive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 w:right="48" w:hanging="8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Comprende il testo in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modo  essenziale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 </w:t>
            </w:r>
          </w:p>
        </w:tc>
        <w:tc>
          <w:tcPr>
            <w:tcW w:w="3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 w:right="49" w:hanging="3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Guidato organizza le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informazioni  per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 la comprensione del testo</w:t>
            </w:r>
          </w:p>
        </w:tc>
      </w:tr>
      <w:tr w:rsidR="00597487">
        <w:trPr>
          <w:trHeight w:val="1409"/>
        </w:trPr>
        <w:tc>
          <w:tcPr>
            <w:tcW w:w="1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2</w:t>
            </w: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25" w:right="50" w:hanging="3"/>
              <w:jc w:val="both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Opera scelte adeguate per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la  risoluzione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 del problema;  organizza i contenuti e le fasi in  modo completo e pertinente,  arricchendolo con spunti personali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25" w:right="47" w:hanging="10"/>
              <w:jc w:val="both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Esegue il proprio lavoro in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modo  autonomo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 organizzando i contenuti  in modo completo e pertinente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6" w:right="47" w:hanging="7"/>
              <w:jc w:val="both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Ha bisogno di sollecitazioni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per  completare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 il lavoro e riesce a  organizzare i contenuti seguendo  uno schema</w:t>
            </w:r>
          </w:p>
        </w:tc>
        <w:tc>
          <w:tcPr>
            <w:tcW w:w="3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28" w:right="49" w:hanging="8"/>
              <w:jc w:val="both"/>
              <w:rPr>
                <w:rFonts w:ascii="Times" w:eastAsia="Times" w:hAnsi="Times" w:cs="Times"/>
                <w:color w:val="00000A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Ha bisogno di aiuto per </w:t>
            </w:r>
            <w:proofErr w:type="gramStart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>completare  il</w:t>
            </w:r>
            <w:proofErr w:type="gramEnd"/>
            <w:r>
              <w:rPr>
                <w:rFonts w:ascii="Times" w:eastAsia="Times" w:hAnsi="Times" w:cs="Times"/>
                <w:color w:val="00000A"/>
                <w:sz w:val="21"/>
                <w:szCs w:val="21"/>
              </w:rPr>
              <w:t xml:space="preserve"> lavoro assegnato e se guidato  organizza i contenuti.</w:t>
            </w:r>
          </w:p>
        </w:tc>
      </w:tr>
      <w:tr w:rsidR="00597487">
        <w:trPr>
          <w:trHeight w:val="1243"/>
        </w:trPr>
        <w:tc>
          <w:tcPr>
            <w:tcW w:w="1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lastRenderedPageBreak/>
              <w:t>3</w:t>
            </w: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2" w:lineRule="auto"/>
              <w:ind w:left="116" w:right="50" w:firstLine="2"/>
              <w:jc w:val="both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Tiene un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comportamento  responsabile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, collaborativo e  propositivo e agisce come  riferimento nel gruppo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2" w:lineRule="auto"/>
              <w:ind w:left="120" w:right="48" w:hanging="4"/>
              <w:jc w:val="both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Tiene un comportamento corretto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e  si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relaziona in modo adeguato  accettando i contributi di ognuno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2" w:lineRule="auto"/>
              <w:ind w:left="116" w:right="48" w:firstLine="1"/>
              <w:jc w:val="both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Mette in atto alcune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strategie  relazionali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all’int</w:t>
            </w: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erno del piccolo  gruppo</w:t>
            </w:r>
          </w:p>
        </w:tc>
        <w:tc>
          <w:tcPr>
            <w:tcW w:w="3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2" w:lineRule="auto"/>
              <w:ind w:left="118" w:right="48"/>
              <w:jc w:val="both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Deve essere indirizzato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alla  collaborazione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con i compagni e a  mantenere un comportamento  adeguato. </w:t>
            </w:r>
          </w:p>
        </w:tc>
      </w:tr>
      <w:tr w:rsidR="00597487">
        <w:trPr>
          <w:trHeight w:val="962"/>
        </w:trPr>
        <w:tc>
          <w:tcPr>
            <w:tcW w:w="19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4 </w:t>
            </w:r>
          </w:p>
        </w:tc>
        <w:tc>
          <w:tcPr>
            <w:tcW w:w="3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2" w:lineRule="auto"/>
              <w:ind w:left="120" w:right="51" w:hanging="1"/>
              <w:jc w:val="both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Presenta il lavoro, individuale e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di  gruppo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, in modo completo, preciso  e arricchito con spunti personali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18" w:right="48" w:hanging="2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Presenta il lavoro, individuale e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di  gruppo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, in modo preciso</w:t>
            </w:r>
          </w:p>
        </w:tc>
        <w:tc>
          <w:tcPr>
            <w:tcW w:w="31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2" w:lineRule="auto"/>
              <w:ind w:left="116" w:right="48" w:firstLine="2"/>
              <w:jc w:val="both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Presenta il lavoro, individuale e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di  gruppo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, in modo generico,  rispettando le indicazioni date</w:t>
            </w:r>
          </w:p>
        </w:tc>
        <w:tc>
          <w:tcPr>
            <w:tcW w:w="31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7487" w:rsidRDefault="00813A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18" w:right="48" w:firstLine="5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Se guidato presenta il lavoro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in  modo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elementare</w:t>
            </w:r>
          </w:p>
        </w:tc>
      </w:tr>
    </w:tbl>
    <w:p w:rsidR="00597487" w:rsidRDefault="0059748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97487" w:rsidRDefault="0059748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597487">
      <w:pgSz w:w="16820" w:h="11900" w:orient="landscape"/>
      <w:pgMar w:top="686" w:right="710" w:bottom="2129" w:left="1416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487"/>
    <w:rsid w:val="00597487"/>
    <w:rsid w:val="0081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FF549F-BA42-449A-8C66-49B445D2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semiHidden/>
    <w:unhideWhenUsed/>
    <w:rsid w:val="00813A96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813A96"/>
    <w:pPr>
      <w:suppressAutoHyphens/>
      <w:spacing w:line="240" w:lineRule="auto"/>
      <w:jc w:val="center"/>
    </w:pPr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13A96"/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13A9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13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1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hyperlink" Target="mailto:BSIC80300R@PEC.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1885</Characters>
  <Application>Microsoft Office Word</Application>
  <DocSecurity>0</DocSecurity>
  <Lines>15</Lines>
  <Paragraphs>4</Paragraphs>
  <ScaleCrop>false</ScaleCrop>
  <Company>HP Inc.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2</cp:revision>
  <dcterms:created xsi:type="dcterms:W3CDTF">2023-07-03T06:00:00Z</dcterms:created>
  <dcterms:modified xsi:type="dcterms:W3CDTF">2023-07-03T06:02:00Z</dcterms:modified>
</cp:coreProperties>
</file>