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</w:rPr>
        <w:drawing>
          <wp:inline distB="0" distT="0" distL="0" distR="0">
            <wp:extent cx="495300" cy="49530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Ministero dell'Istruzione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ISTITUTO COMPRENSIVO “RITA LEVI-MONTALCINI”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Via Pusterla,1 – 25049 </w:t>
      </w:r>
      <w:r w:rsidDel="00000000" w:rsidR="00000000" w:rsidRPr="00000000">
        <w:rPr>
          <w:b w:val="1"/>
          <w:sz w:val="16"/>
          <w:szCs w:val="16"/>
          <w:rtl w:val="0"/>
        </w:rPr>
        <w:t xml:space="preserve">Iseo (Bs)</w:t>
      </w:r>
      <w:r w:rsidDel="00000000" w:rsidR="00000000" w:rsidRPr="00000000">
        <w:rPr>
          <w:sz w:val="16"/>
          <w:szCs w:val="16"/>
          <w:rtl w:val="0"/>
        </w:rPr>
        <w:t xml:space="preserve"> C.F.80052640176   www.iciseo.edu.it  </w:t>
      </w:r>
    </w:p>
    <w:p w:rsidR="00000000" w:rsidDel="00000000" w:rsidP="00000000" w:rsidRDefault="00000000" w:rsidRPr="00000000" w14:paraId="00000005">
      <w:pPr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e-mail: </w:t>
      </w:r>
      <w:hyperlink r:id="rId8">
        <w:r w:rsidDel="00000000" w:rsidR="00000000" w:rsidRPr="00000000">
          <w:rPr>
            <w:i w:val="1"/>
            <w:color w:val="0000ff"/>
            <w:sz w:val="16"/>
            <w:szCs w:val="16"/>
            <w:u w:val="single"/>
            <w:rtl w:val="0"/>
          </w:rPr>
          <w:t xml:space="preserve">BSIC80300R@ISTRUZIONE.IT</w:t>
        </w:r>
      </w:hyperlink>
      <w:r w:rsidDel="00000000" w:rsidR="00000000" w:rsidRPr="00000000">
        <w:rPr>
          <w:i w:val="1"/>
          <w:sz w:val="16"/>
          <w:szCs w:val="16"/>
          <w:rtl w:val="0"/>
        </w:rPr>
        <w:t xml:space="preserve">   e-mail: </w:t>
      </w:r>
      <w:hyperlink r:id="rId9">
        <w:r w:rsidDel="00000000" w:rsidR="00000000" w:rsidRPr="00000000">
          <w:rPr>
            <w:i w:val="1"/>
            <w:color w:val="0000ff"/>
            <w:sz w:val="16"/>
            <w:szCs w:val="16"/>
            <w:u w:val="single"/>
            <w:rtl w:val="0"/>
          </w:rPr>
          <w:t xml:space="preserve">BSIC80300R@PEC.ISTRUZIONE.IT</w:t>
        </w:r>
      </w:hyperlink>
      <w:r w:rsidDel="00000000" w:rsidR="00000000" w:rsidRPr="00000000">
        <w:rPr>
          <w:i w:val="1"/>
          <w:sz w:val="16"/>
          <w:szCs w:val="16"/>
          <w:rtl w:val="0"/>
        </w:rPr>
        <w:t xml:space="preserve">    </w:t>
      </w:r>
      <w:r w:rsidDel="00000000" w:rsidR="00000000" w:rsidRPr="00000000">
        <w:rPr>
          <w:sz w:val="16"/>
          <w:szCs w:val="16"/>
          <w:rtl w:val="0"/>
        </w:rPr>
        <w:t xml:space="preserve"> 030/980235</w:t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Scuola Primaria </w:t>
      </w:r>
    </w:p>
    <w:p w:rsidR="00000000" w:rsidDel="00000000" w:rsidP="00000000" w:rsidRDefault="00000000" w:rsidRPr="00000000" w14:paraId="00000008">
      <w:pPr>
        <w:spacing w:after="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CLASSI QUARTE</w:t>
      </w:r>
    </w:p>
    <w:p w:rsidR="00000000" w:rsidDel="00000000" w:rsidP="00000000" w:rsidRDefault="00000000" w:rsidRPr="00000000" w14:paraId="00000009">
      <w:pPr>
        <w:spacing w:after="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anno scolastico 2022-2023</w:t>
      </w:r>
    </w:p>
    <w:p w:rsidR="00000000" w:rsidDel="00000000" w:rsidP="00000000" w:rsidRDefault="00000000" w:rsidRPr="00000000" w14:paraId="0000000A">
      <w:pPr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PIANO DIDATTICO  DI RELIGIONE CATTOLICA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026.000000000002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56"/>
        <w:gridCol w:w="3757"/>
        <w:gridCol w:w="3756"/>
        <w:gridCol w:w="3757"/>
        <w:tblGridChange w:id="0">
          <w:tblGrid>
            <w:gridCol w:w="3756"/>
            <w:gridCol w:w="3757"/>
            <w:gridCol w:w="3756"/>
            <w:gridCol w:w="3757"/>
          </w:tblGrid>
        </w:tblGridChange>
      </w:tblGrid>
      <w:tr>
        <w:trPr>
          <w:cantSplit w:val="0"/>
          <w:tblHeader w:val="0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TRAGUARDI DI SVILUPPO DELLE COMPETENZE </w:t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L’alunno riflette sui dati fondamentali della vita di Gesù e sa collegare i contenuti principali del suo insegnamento alle tradizioni dell’ambiente in cui vive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PER identificarlo come il Messia mandato da Dio a salvare gli uomini attraverso parole ed opere e ne coglie significati per il proprio vivere, distinguendo ciò che appartiene all’ambito della fede cristiano cattolica, come si è sviluppata lungo il corso della storia, da ciò che non le appartiene.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L’alunno riconosce il significato del Natale e della Pasqua, traendone motivo per interrogarsi sul valore di tali festività nell’esperienza personale, familiare e sociale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 coglierne il valore e saper  collegare in modo più approfondito tali feste e i loro segni agli eventi da cui hanno avuto origine, che sa riferire utilizzando una prospettiva storico- artistica.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L’alunno riconosce che la Bibbia è il libro sacro per cristiani ed ebrei e documento fondamentale della nostra cultura, sapendola distinguere da altre tipologie di testi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 individuare, a partire da significativi passi evangelici, i principali generi letterari della Bibbia e identificare nei Vangeli le fonti storico-religiose privilegiate per la conoscenza di Gesù.                                                 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L’alunno sa farsi accompagnare nell’analisi delle pagine bibliche a lui più accessibili,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 collegarle alla propria esperienza.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 riferirne con semplici parole il contenuto essenziale, esplicitare il significato di alcuni passi dei libri del Nuovo Testamento, rilevando delle analogie fra queste narrazioni e il proprio vissuto.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L’alunno si confronta con l’esperienza religiosa e distingue la specificità della proposta di salvezza del cristianesimo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 identificare, nell’esempio dei Santi e di cristiani contemporanei, gli insegnamenti di Gesù e cogliere l’importanza di gesti concreti di solidarietà e perdono per realizzare il bene comune nei propri contesti di vita.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L’alunno identifica nella Chiesa la comunità di coloro che credono in Gesù Cristo e si impegnano per mettere in pratica il suo insegnamento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 identificare nelle apparizioni di Gesù e nell’evento di Pentecoste l’origine della missione apostolica e della Chiesa, individuare le linee guida proposte dalla prima comunità cristiana e riconosce in essa valori significativi per il vivere comunitario (es. Accoglienza, condivisione, solidarietà)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L’alunno coglie il significato dei Sacramenti e si interroga sul valore che essi hanno nella vita dei cristiani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 trovare negli episodi di vita di Gesù la loro origine e il loro valore per la vita dei cristiani.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DIMENSIONI DI COMPETENZA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DIO E L’UOMO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BIBBIA E LE FONTI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LINGUAGGIO RELIGIOSO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VALORI ETICI E RELIGIOSI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Coglie come  l’intervento di Dio nella storia dell’umanità continui  per mezzo di Gesù Cristo.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-Attraverso l’analisi delle Sue parole ed opere, ne coglie il messaggio ed  identifica Gesù come il Salvatore degli uomini. 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-Motiva  l’origine della missione apostolica nelle apparizioni del Risorto e nell’evento di Pentecoste.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Riferisce  le tappe fondamentali della vita di Gesù, nel contesto storico,    sociale, politico e religioso del tempo, a partire dai Vangeli.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Distingue  il genere letterario delle pagine evangeliche.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Individua significative espressioni d'arte cristiana nell’ambiente in cui vive e sa collegarli agli episodi evangelici a cui fanno riferimento.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-Individua scelte di vita </w:t>
            </w:r>
            <w:r w:rsidDel="00000000" w:rsidR="00000000" w:rsidRPr="00000000">
              <w:rPr>
                <w:rtl w:val="0"/>
              </w:rPr>
              <w:t xml:space="preserve">coerenti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  <w:t xml:space="preserve">con gli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insegnamenti di Gesù.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-Rievoca il significato del Natale e della Pasqua e coglie il  valore di tali festività nell’esperienza personale e sociale.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Sull’esempio di Gesù</w:t>
            </w:r>
            <w:r w:rsidDel="00000000" w:rsidR="00000000" w:rsidRPr="00000000">
              <w:rPr>
                <w:rtl w:val="0"/>
              </w:rPr>
              <w:t xml:space="preserve"> progetta ed attua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nel proprio contesto  di vita quotidiano, gesti di solidarietà e perdono per la realizzazione del bene comune.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PRINCIPALI SAPERI DISCIPLINARI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Vangeli.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Palestina al tempo di Gesù.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vita ed il messaggio di Gesù.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Pasqua: centro della fede cristiana.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L’arte cristiana.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mandato degli Apostoli.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601.0" w:type="dxa"/>
        <w:jc w:val="left"/>
        <w:tblInd w:w="-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336"/>
        <w:gridCol w:w="7265"/>
        <w:tblGridChange w:id="0">
          <w:tblGrid>
            <w:gridCol w:w="7336"/>
            <w:gridCol w:w="7265"/>
          </w:tblGrid>
        </w:tblGridChange>
      </w:tblGrid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OBIETTIVI DI APPRENDIMENTO  OGGETTO DI VALUTAZIONE  1°QUADRIMESTRE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OBIETTIVI DI APPRENDIMENTO OGGETTO DI VALUTAZIONE 2° QUADRIMESTRE</w:t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Cogliere  come  l’intervento di Dio nella storia dell’umanità continui  per mezzo di Gesù Cristo.</w:t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 A partire dai Vangeli, riferire  le tappe fondamentali della vita di Gesù nel suo contesto storico.</w:t>
            </w:r>
          </w:p>
          <w:p w:rsidR="00000000" w:rsidDel="00000000" w:rsidP="00000000" w:rsidRDefault="00000000" w:rsidRPr="00000000" w14:paraId="00000042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 Distinguere  il genere letterario delle pagine evangeliche.</w:t>
            </w:r>
          </w:p>
          <w:p w:rsidR="00000000" w:rsidDel="00000000" w:rsidP="00000000" w:rsidRDefault="00000000" w:rsidRPr="00000000" w14:paraId="00000044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  <w:t xml:space="preserve">Individuare significative espressioni d'arte cristiana nell’ambiente in cui vive e collegarle agli episodi evangelici a cui fanno riferimento. </w:t>
            </w:r>
          </w:p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Rievocare il significato del Natale e della Pasqua  e cogliere il  valore di tale festività nell’esperienza personale e sociale.</w:t>
            </w:r>
          </w:p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ind w:left="36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Attraverso l’analisi delle Sue parole ed opere  coglierne il significato ed  identificare Gesù come il Salvatore degli uomini.</w:t>
            </w:r>
          </w:p>
          <w:p w:rsidR="00000000" w:rsidDel="00000000" w:rsidP="00000000" w:rsidRDefault="00000000" w:rsidRPr="00000000" w14:paraId="0000004C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  <w:t xml:space="preserve">Rievocare il significato  della Pasqua, coglierne il valore salvifico e il senso di tale festività nell’esperienza personale, familiare e sociale.</w:t>
            </w:r>
          </w:p>
          <w:p w:rsidR="00000000" w:rsidDel="00000000" w:rsidP="00000000" w:rsidRDefault="00000000" w:rsidRPr="00000000" w14:paraId="0000004E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  <w:t xml:space="preserve">Individuare  significative espressioni d'arte cristiana nell’ambiente in cui vive e  collegarle agli episodi evangelici a cui fanno riferimento.</w:t>
            </w:r>
          </w:p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Motivare  l’origine della missione apostolica nelle apparizioni del Risorto e nell’evento di Pentecoste.</w:t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Individuare scelte di vita coerenti con gli insegnamenti di Gesù.</w:t>
            </w:r>
          </w:p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Sull’esempio di Gesù progettare ed attuare, nel proprio contesto  di vita quotidiano, gesti di solidarietà e perdono per la realizzazione del bene comune.</w:t>
            </w:r>
          </w:p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42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426"/>
        <w:tblGridChange w:id="0">
          <w:tblGrid>
            <w:gridCol w:w="1442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STRATEGIE DIDATTICHE  - APPROCCI METODOLOGICI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Lezione partecipata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Cooperative Learning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Peer Tutoring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Didattica laboratoriale: 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-attività pratica/ludica 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-costruzione dell’esperienza, trasferimento, rielaborazione 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-elaborazione critica dell’errore 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Didattica per problemi  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 situazioni concrete e reali  per stimolare la capacità di individuare la strategia risolutiva, la pianificazione e di riflettere poi sulle procedure risolutive (metacognizione) 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 EAS: esperienze di realtà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fase preparatoria - problem solving; fase operatoria - learning by doing; fase ristrutturativa – reflective learning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di realtà</w:t>
            </w:r>
          </w:p>
        </w:tc>
      </w:tr>
    </w:tbl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42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426"/>
        <w:tblGridChange w:id="0">
          <w:tblGrid>
            <w:gridCol w:w="1442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MONITORAGGIO - VALUTAZIONE</w:t>
            </w:r>
          </w:p>
        </w:tc>
      </w:tr>
    </w:tbl>
    <w:p w:rsidR="00000000" w:rsidDel="00000000" w:rsidP="00000000" w:rsidRDefault="00000000" w:rsidRPr="00000000" w14:paraId="0000007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TIPOLOGIE DI PROVE </w:t>
      </w:r>
    </w:p>
    <w:p w:rsidR="00000000" w:rsidDel="00000000" w:rsidP="00000000" w:rsidRDefault="00000000" w:rsidRPr="00000000" w14:paraId="0000007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Osservazione diretta in contesti di apprendimento differenti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Analisi delle interazioni verbali, delle argomentazioni e delle meta-riflessioni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Routine scolastiche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Prove scritte/ orali strutturate/semistrutturate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Prove pratiche (esecuzioni strumentali, prove grafiche, elaborati multimediali, artefatti)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Prove esperte o autentiche/compiti di realtà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RUBRICA VALUTAZIONE</w:t>
      </w:r>
    </w:p>
    <w:p w:rsidR="00000000" w:rsidDel="00000000" w:rsidP="00000000" w:rsidRDefault="00000000" w:rsidRPr="00000000" w14:paraId="0000008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37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95"/>
        <w:gridCol w:w="11715"/>
        <w:tblGridChange w:id="0">
          <w:tblGrid>
            <w:gridCol w:w="1995"/>
            <w:gridCol w:w="11715"/>
          </w:tblGrid>
        </w:tblGridChange>
      </w:tblGrid>
      <w:tr>
        <w:trPr>
          <w:cantSplit w:val="0"/>
          <w:trHeight w:val="106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spacing w:line="276" w:lineRule="auto"/>
              <w:ind w:left="-60"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OTTIMO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spacing w:line="276" w:lineRule="auto"/>
              <w:ind w:left="-60" w:firstLine="0"/>
              <w:rPr>
                <w:color w:val="00000a"/>
                <w:sz w:val="22"/>
                <w:szCs w:val="22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rtl w:val="0"/>
              </w:rPr>
              <w:t xml:space="preserve">L’alunno conosce gli argomenti trattati in modo completo e approfondito.</w:t>
            </w:r>
          </w:p>
          <w:p w:rsidR="00000000" w:rsidDel="00000000" w:rsidP="00000000" w:rsidRDefault="00000000" w:rsidRPr="00000000" w14:paraId="00000089">
            <w:pPr>
              <w:spacing w:line="276" w:lineRule="auto"/>
              <w:ind w:left="-60" w:firstLine="0"/>
              <w:jc w:val="both"/>
              <w:rPr>
                <w:color w:val="00000a"/>
                <w:sz w:val="22"/>
                <w:szCs w:val="22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rtl w:val="0"/>
              </w:rPr>
              <w:t xml:space="preserve">Usa il linguaggio religioso in modo appropriato. Porta a termine in modo autonomo e responsabile i compiti assegnati. Partecipa in modo costruttivo offrendo il proprio contributo alle attività della classe. Sa rielaborare in modo critico le conoscenze.</w:t>
            </w:r>
          </w:p>
        </w:tc>
      </w:tr>
      <w:tr>
        <w:trPr>
          <w:cantSplit w:val="0"/>
          <w:trHeight w:val="9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spacing w:line="276" w:lineRule="auto"/>
              <w:ind w:left="-60"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DISTINTO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spacing w:line="276" w:lineRule="auto"/>
              <w:ind w:left="-60" w:right="60" w:firstLine="0"/>
              <w:jc w:val="both"/>
              <w:rPr>
                <w:color w:val="00000a"/>
                <w:sz w:val="22"/>
                <w:szCs w:val="22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rtl w:val="0"/>
              </w:rPr>
              <w:t xml:space="preserve">L’alunno conosce in modo completo gli argomenti trattati. Usa il linguaggio religioso in modo abbastanza appropriato. Porta a termine in maniera autonoma i compiti assegnati. Partecipa in modo pertinente e propositivo alle attività. Sa rielaborare in modo critico le conoscenze.</w:t>
            </w:r>
          </w:p>
        </w:tc>
      </w:tr>
      <w:tr>
        <w:trPr>
          <w:cantSplit w:val="0"/>
          <w:trHeight w:val="9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spacing w:line="276" w:lineRule="auto"/>
              <w:ind w:left="-60" w:right="20"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BUONO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spacing w:line="276" w:lineRule="auto"/>
              <w:ind w:left="-60" w:right="60" w:firstLine="0"/>
              <w:jc w:val="both"/>
              <w:rPr>
                <w:color w:val="00000a"/>
                <w:sz w:val="22"/>
                <w:szCs w:val="22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rtl w:val="0"/>
              </w:rPr>
              <w:t xml:space="preserve">L’alunno conosce complessivamente gli argomenti trattati anche se non in modo approfondito. Il linguaggio religioso usato non sempre è appropriato. Porta a termine in autonomia i compiti dove sono coinvolte conoscenze e abilità  che  padroneggia;  gli  altri, con  il  supporto dell’insegnante e dei compagni. Partecipa in modo abbastanza attivo alle attività.</w:t>
            </w:r>
          </w:p>
        </w:tc>
      </w:tr>
      <w:tr>
        <w:trPr>
          <w:cantSplit w:val="0"/>
          <w:trHeight w:val="9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spacing w:line="276" w:lineRule="auto"/>
              <w:ind w:left="-60"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SUFFICIENTE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spacing w:line="276" w:lineRule="auto"/>
              <w:ind w:left="-60" w:right="60" w:firstLine="0"/>
              <w:jc w:val="both"/>
              <w:rPr>
                <w:color w:val="00000a"/>
                <w:sz w:val="22"/>
                <w:szCs w:val="22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rtl w:val="0"/>
              </w:rPr>
              <w:t xml:space="preserve">L’alunno conosce solo in parte gli argomenti trattati e le sue conoscenze sono superficiali. Si esprime con difficoltà utilizzando il linguaggio religioso in maniera non sempre appropriata. Esegue i compiti richiesti con il supporto di domande stimolo e indicazioni dell’adulto o dei compagni. Dimostra parziale interesse e poca partecipazione.</w:t>
            </w:r>
          </w:p>
        </w:tc>
      </w:tr>
      <w:tr>
        <w:trPr>
          <w:cantSplit w:val="0"/>
          <w:trHeight w:val="9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spacing w:line="276" w:lineRule="auto"/>
              <w:ind w:left="-60"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INSUFFICIENTE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spacing w:line="276" w:lineRule="auto"/>
              <w:ind w:left="-60" w:right="60" w:firstLine="0"/>
              <w:jc w:val="both"/>
              <w:rPr>
                <w:color w:val="00000a"/>
                <w:sz w:val="22"/>
                <w:szCs w:val="22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rtl w:val="0"/>
              </w:rPr>
              <w:t xml:space="preserve">L’alunno conosce in modo frammentario o non conosce gli argomenti L’alunno conosce in modo frammentario o non conosce gli argomenti trattati. Non sa usare il linguaggio religioso. Non esegue i compiti assegnati assumendo un atteggiamento di rinuncia alle attività didattiche proposte. Dimostra scarsa attenzione.</w:t>
            </w:r>
          </w:p>
        </w:tc>
      </w:tr>
    </w:tbl>
    <w:p w:rsidR="00000000" w:rsidDel="00000000" w:rsidP="00000000" w:rsidRDefault="00000000" w:rsidRPr="00000000" w14:paraId="0000009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10" w:type="default"/>
      <w:pgSz w:h="11906" w:w="16838" w:orient="landscape"/>
      <w:pgMar w:bottom="851" w:top="709" w:left="1134" w:right="1418" w:header="72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Times New Roman"/>
  <w:font w:name="Georgia"/>
  <w:font w:name="Courier New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-"/>
      <w:lvlJc w:val="left"/>
      <w:pPr>
        <w:ind w:left="2160" w:hanging="360"/>
      </w:pPr>
      <w:rPr>
        <w:rFonts w:ascii="Times New Roman" w:cs="Times New Roman" w:eastAsia="Times New Roman" w:hAnsi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both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e" w:default="1">
    <w:name w:val="Normal"/>
    <w:qFormat w:val="1"/>
    <w:rsid w:val="00A421FA"/>
  </w:style>
  <w:style w:type="paragraph" w:styleId="Titolo1">
    <w:name w:val="heading 1"/>
    <w:basedOn w:val="normal"/>
    <w:next w:val="normal"/>
    <w:rsid w:val="00713C64"/>
    <w:pPr>
      <w:keepNext w:val="1"/>
      <w:spacing w:after="60" w:before="240"/>
      <w:outlineLvl w:val="0"/>
    </w:pPr>
    <w:rPr>
      <w:rFonts w:ascii="Cambria" w:cs="Cambria" w:eastAsia="Cambria" w:hAnsi="Cambria"/>
      <w:b w:val="1"/>
      <w:sz w:val="32"/>
      <w:szCs w:val="32"/>
    </w:rPr>
  </w:style>
  <w:style w:type="paragraph" w:styleId="Titolo2">
    <w:name w:val="heading 2"/>
    <w:basedOn w:val="normal"/>
    <w:next w:val="normal"/>
    <w:rsid w:val="00713C64"/>
    <w:pPr>
      <w:keepNext w:val="1"/>
      <w:jc w:val="both"/>
      <w:outlineLvl w:val="1"/>
    </w:pPr>
    <w:rPr>
      <w:sz w:val="28"/>
      <w:szCs w:val="28"/>
    </w:rPr>
  </w:style>
  <w:style w:type="paragraph" w:styleId="Titolo3">
    <w:name w:val="heading 3"/>
    <w:basedOn w:val="normal"/>
    <w:next w:val="normal"/>
    <w:rsid w:val="00713C64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"/>
    <w:next w:val="normal"/>
    <w:rsid w:val="00713C64"/>
    <w:pPr>
      <w:keepNext w:val="1"/>
      <w:keepLines w:val="1"/>
      <w:spacing w:after="40" w:before="240"/>
      <w:outlineLvl w:val="3"/>
    </w:pPr>
    <w:rPr>
      <w:b w:val="1"/>
    </w:rPr>
  </w:style>
  <w:style w:type="paragraph" w:styleId="Titolo5">
    <w:name w:val="heading 5"/>
    <w:basedOn w:val="normal"/>
    <w:next w:val="normal"/>
    <w:rsid w:val="00713C64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"/>
    <w:next w:val="normal"/>
    <w:rsid w:val="00713C64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normal" w:customStyle="1">
    <w:name w:val="normal"/>
    <w:rsid w:val="00713C64"/>
  </w:style>
  <w:style w:type="table" w:styleId="TableNormal" w:customStyle="1">
    <w:name w:val="Table Normal"/>
    <w:rsid w:val="00713C64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"/>
    <w:next w:val="normal"/>
    <w:rsid w:val="00713C64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ottotitolo">
    <w:name w:val="Subtitle"/>
    <w:basedOn w:val="normal"/>
    <w:next w:val="normal"/>
    <w:rsid w:val="00713C64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713C6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"/>
    <w:rsid w:val="00713C6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1" w:customStyle="1">
    <w:basedOn w:val="TableNormal"/>
    <w:rsid w:val="00713C6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2" w:customStyle="1">
    <w:basedOn w:val="TableNormal"/>
    <w:rsid w:val="00713C6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"/>
    <w:rsid w:val="00713C6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"/>
    <w:rsid w:val="00713C6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"/>
    <w:rsid w:val="00713C6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"/>
    <w:rsid w:val="00713C6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"/>
    <w:rsid w:val="00713C6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character" w:styleId="Collegamentoipertestuale">
    <w:name w:val="Hyperlink"/>
    <w:semiHidden w:val="1"/>
    <w:unhideWhenUsed w:val="1"/>
    <w:rsid w:val="009541CA"/>
    <w:rPr>
      <w:color w:val="0000ff"/>
      <w:u w:val="single"/>
    </w:rPr>
  </w:style>
  <w:style w:type="paragraph" w:styleId="Intestazione">
    <w:name w:val="header"/>
    <w:basedOn w:val="Normale"/>
    <w:next w:val="Corpodeltesto"/>
    <w:link w:val="IntestazioneCarattere"/>
    <w:semiHidden w:val="1"/>
    <w:unhideWhenUsed w:val="1"/>
    <w:rsid w:val="009541CA"/>
    <w:pPr>
      <w:suppressAutoHyphens w:val="1"/>
      <w:jc w:val="center"/>
    </w:pPr>
    <w:rPr>
      <w:rFonts w:ascii="Tahoma" w:cs="Tahoma" w:hAnsi="Tahoma"/>
      <w:b w:val="1"/>
      <w:bCs w:val="1"/>
      <w:kern w:val="2"/>
      <w:sz w:val="30"/>
      <w:szCs w:val="20"/>
      <w:lang w:eastAsia="zh-CN"/>
    </w:rPr>
  </w:style>
  <w:style w:type="character" w:styleId="IntestazioneCarattere" w:customStyle="1">
    <w:name w:val="Intestazione Carattere"/>
    <w:basedOn w:val="Carpredefinitoparagrafo"/>
    <w:link w:val="Intestazione"/>
    <w:semiHidden w:val="1"/>
    <w:rsid w:val="009541CA"/>
    <w:rPr>
      <w:rFonts w:ascii="Tahoma" w:cs="Tahoma" w:hAnsi="Tahoma"/>
      <w:b w:val="1"/>
      <w:bCs w:val="1"/>
      <w:kern w:val="2"/>
      <w:sz w:val="30"/>
      <w:szCs w:val="20"/>
      <w:lang w:eastAsia="zh-CN"/>
    </w:rPr>
  </w:style>
  <w:style w:type="paragraph" w:styleId="Corpodeltesto">
    <w:name w:val="Body Text"/>
    <w:basedOn w:val="Normale"/>
    <w:link w:val="CorpodeltestoCarattere"/>
    <w:uiPriority w:val="99"/>
    <w:semiHidden w:val="1"/>
    <w:unhideWhenUsed w:val="1"/>
    <w:rsid w:val="009541CA"/>
    <w:pPr>
      <w:spacing w:after="120"/>
    </w:pPr>
  </w:style>
  <w:style w:type="character" w:styleId="CorpodeltestoCarattere" w:customStyle="1">
    <w:name w:val="Corpo del testo Carattere"/>
    <w:basedOn w:val="Carpredefinitoparagrafo"/>
    <w:link w:val="Corpodeltesto"/>
    <w:uiPriority w:val="99"/>
    <w:semiHidden w:val="1"/>
    <w:rsid w:val="009541CA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9541CA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9541CA"/>
    <w:rPr>
      <w:rFonts w:ascii="Tahoma" w:cs="Tahoma" w:hAnsi="Tahoma"/>
      <w:sz w:val="16"/>
      <w:szCs w:val="16"/>
    </w:rPr>
  </w:style>
  <w:style w:type="paragraph" w:styleId="Normale1" w:customStyle="1">
    <w:name w:val="Normale1"/>
    <w:rsid w:val="00C563F3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C563F3"/>
    <w:pPr>
      <w:spacing w:after="119" w:before="100" w:beforeAutospacing="1"/>
    </w:pPr>
    <w:rPr>
      <w:rFonts w:ascii="Arial Unicode MS" w:cs="Arial Unicode MS" w:eastAsia="Arial Unicode MS" w:hAnsi="Arial Unicode MS"/>
    </w:rPr>
  </w:style>
  <w:style w:type="table" w:styleId="Grigliatabella">
    <w:name w:val="Table Grid"/>
    <w:basedOn w:val="Tabellanormale"/>
    <w:uiPriority w:val="39"/>
    <w:rsid w:val="00C563F3"/>
    <w:rPr>
      <w:rFonts w:eastAsiaTheme="minorHAnsi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Default" w:customStyle="1">
    <w:name w:val="Default"/>
    <w:rsid w:val="00C563F3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 w:val="1"/>
    <w:rsid w:val="00C563F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mailto:BSIC80300R@PEC.ISTRUZIONE.IT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mailto:BSIC80300R@PEC.ISTRUZIONE.I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0W0Zu1oxWQf1nin4bqT7+vlaRg==">CgMxLjA4AHIhMTByb2tSeVpOaFhEM1U2WDJwd0UyTk03UTlLa243dU9Z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2022-07-20T12:45:00Z</dcterms:created>
</cp:coreProperties>
</file>