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</w:rPr>
        <w:drawing>
          <wp:inline distB="0" distT="0" distL="0" distR="0">
            <wp:extent cx="495300" cy="49530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Ministero dell'Istruzione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ISTITUTO COMPRENSIVO “RITA LEVI-MONTALCINI”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Via Pusterla,1 – 25049 </w:t>
      </w:r>
      <w:r w:rsidDel="00000000" w:rsidR="00000000" w:rsidRPr="00000000">
        <w:rPr>
          <w:b w:val="1"/>
          <w:sz w:val="16"/>
          <w:szCs w:val="16"/>
          <w:rtl w:val="0"/>
        </w:rPr>
        <w:t xml:space="preserve">Iseo (Bs)</w:t>
      </w:r>
      <w:r w:rsidDel="00000000" w:rsidR="00000000" w:rsidRPr="00000000">
        <w:rPr>
          <w:sz w:val="16"/>
          <w:szCs w:val="16"/>
          <w:rtl w:val="0"/>
        </w:rPr>
        <w:t xml:space="preserve"> C.F.80052640176   www.iciseo.edu.it  </w:t>
      </w:r>
    </w:p>
    <w:p w:rsidR="00000000" w:rsidDel="00000000" w:rsidP="00000000" w:rsidRDefault="00000000" w:rsidRPr="00000000" w14:paraId="00000005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e-mail: </w:t>
      </w:r>
      <w:hyperlink r:id="rId8">
        <w:r w:rsidDel="00000000" w:rsidR="00000000" w:rsidRPr="00000000">
          <w:rPr>
            <w:i w:val="1"/>
            <w:color w:val="0000ff"/>
            <w:sz w:val="16"/>
            <w:szCs w:val="16"/>
            <w:u w:val="single"/>
            <w:rtl w:val="0"/>
          </w:rPr>
          <w:t xml:space="preserve">BSIC80300R@ISTRUZIONE.IT</w:t>
        </w:r>
      </w:hyperlink>
      <w:r w:rsidDel="00000000" w:rsidR="00000000" w:rsidRPr="00000000">
        <w:rPr>
          <w:i w:val="1"/>
          <w:sz w:val="16"/>
          <w:szCs w:val="16"/>
          <w:rtl w:val="0"/>
        </w:rPr>
        <w:t xml:space="preserve">   e-mail: </w:t>
      </w:r>
      <w:hyperlink r:id="rId9">
        <w:r w:rsidDel="00000000" w:rsidR="00000000" w:rsidRPr="00000000">
          <w:rPr>
            <w:i w:val="1"/>
            <w:color w:val="0000ff"/>
            <w:sz w:val="16"/>
            <w:szCs w:val="16"/>
            <w:u w:val="single"/>
            <w:rtl w:val="0"/>
          </w:rPr>
          <w:t xml:space="preserve">BSIC80300R@PEC.ISTRUZIONE.IT</w:t>
        </w:r>
      </w:hyperlink>
      <w:r w:rsidDel="00000000" w:rsidR="00000000" w:rsidRPr="00000000">
        <w:rPr>
          <w:i w:val="1"/>
          <w:sz w:val="16"/>
          <w:szCs w:val="16"/>
          <w:rtl w:val="0"/>
        </w:rPr>
        <w:t xml:space="preserve">    </w:t>
      </w:r>
      <w:r w:rsidDel="00000000" w:rsidR="00000000" w:rsidRPr="00000000">
        <w:rPr>
          <w:sz w:val="16"/>
          <w:szCs w:val="16"/>
          <w:rtl w:val="0"/>
        </w:rPr>
        <w:t xml:space="preserve"> 030/980235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Scuola Primaria </w:t>
      </w:r>
    </w:p>
    <w:p w:rsidR="00000000" w:rsidDel="00000000" w:rsidP="00000000" w:rsidRDefault="00000000" w:rsidRPr="00000000" w14:paraId="00000008">
      <w:pPr>
        <w:spacing w:after="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CLASSI TERZE</w:t>
      </w:r>
    </w:p>
    <w:p w:rsidR="00000000" w:rsidDel="00000000" w:rsidP="00000000" w:rsidRDefault="00000000" w:rsidRPr="00000000" w14:paraId="00000009">
      <w:pPr>
        <w:spacing w:after="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anno scolastico 2022-2023</w:t>
      </w:r>
    </w:p>
    <w:p w:rsidR="00000000" w:rsidDel="00000000" w:rsidP="00000000" w:rsidRDefault="00000000" w:rsidRPr="00000000" w14:paraId="0000000A">
      <w:pPr>
        <w:spacing w:after="6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PIANO DIDATTICO  DI RELIGIONE CATTOLICA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026.000000000002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56"/>
        <w:gridCol w:w="3757"/>
        <w:gridCol w:w="3756"/>
        <w:gridCol w:w="3757"/>
        <w:tblGridChange w:id="0">
          <w:tblGrid>
            <w:gridCol w:w="3756"/>
            <w:gridCol w:w="3757"/>
            <w:gridCol w:w="3756"/>
            <w:gridCol w:w="3757"/>
          </w:tblGrid>
        </w:tblGridChange>
      </w:tblGrid>
      <w:tr>
        <w:trPr>
          <w:cantSplit w:val="0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TRAGUARDI DI SVILUPPO DELLE COMPETENZE 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riflette su Dio Creatore e Padre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essere sensibile dinanzi alla bellezza della natura e trovare nessi tra questo stupore e le domande di senso che essa suscita negli uomini di fede e di scienza.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riflette sui dati fondamentali della vita di Gesù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identificarlo come il Messia annunciato dai profeti del popolo ebraico.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 alunno riconosce il significato del Natale e della Pasqua, traendone motivo per interrogarsi sul valore di tali festività nell’esperienza personale, familiare e sociale,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collegare tali feste e i loro segni agli eventi da cui hanno avuto origine, effettuare confronti tra la Pasqua ebraica e cristiana, descrivendo con parole semplici il valore e il significato che questa festa assume per i cristiani e gli Ebrei.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riconosce che la Bibbia è il libro sacro per cristiani ed ebrei e documento fondamentale della nostra cultura, sapendola distinguere da altre tipologie di testi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riconoscerne il valore per il popolo ebraico e cristiano e  motivare le ragioni per cui è ritenuto un testo sacro.                                                                                              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.L’alunno sa farsi accompagnare nell’analisi delle pagine bibliche a lui più accessibili,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collegarle alla propria esperienza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riferirne con semplici parole il contenuto essenziale, cogliere il significato principale di alcuni passi dell’Antico Testamento rilevando delle analogie fra queste narrazioni e il proprio vissuto.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si confronta con l’esperienza religiosa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cogliere il significato di “patto d’amicizia” e “libertà” e applicarli di fronte a situazioni conflittuali e a scelte di vita, cogliendo nella figura dei Santi, dei Patriarchi e di Gesù modelli da seguire.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identifica nella Chiesa la comunità di coloro che credono in Gesù Cristo e si impegnano per mettere in pratica il suo insegnamento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descriverne in modo semplice i tratti essenziali e identificare gli elementi comuni tra le manifestazioni di religiosità dei popoli antichi, quelle appartenenti al popolo ebraico e quelle propriamente cristiane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coglie il significato dei Sacramenti e si interroga sul valore che essi hanno nella vita dei cristiani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trovare delle somiglianze tra i Sacramenti cristiani e le tradizioni ebraiche. 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DIMENSIONI DI COMPETENZA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DIO E L’UOMO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BIBBIA E LE FONTI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LINGUAGGIO RELIGIOSO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VALORI ETICI E RELIGIOSI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- Riconosce in Gesù le caratteristiche del Messia ebraico, annunciato dai profeti.</w:t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tl w:val="0"/>
              </w:rPr>
              <w:t xml:space="preserve">Distingue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le ipotesi  scientifiche e religiose sull’origine della terra e della vita.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-Riconosce la Bibbia come documento fondamentale della nostra cultura, la sa consultare e  distinguer</w:t>
            </w:r>
            <w:r w:rsidDel="00000000" w:rsidR="00000000" w:rsidRPr="00000000">
              <w:rPr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da altre tipologie di testo.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-Riferisce sinteticamente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 principali episodi biblici  della storia della Salvezza  e trova delle corrispondenze  con l</w:t>
            </w:r>
            <w:r w:rsidDel="00000000" w:rsidR="00000000" w:rsidRPr="00000000">
              <w:rPr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propri</w:t>
            </w:r>
            <w:r w:rsidDel="00000000" w:rsidR="00000000" w:rsidRPr="00000000">
              <w:rPr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esperienze di vita.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  <w:t xml:space="preserve">Attraverso la lettura dell’Antico Testamento rileva le caratteristiche del Patto  di Alleanza tra Dio e il suo popolo.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-Coglie analogie ed alterità tra  la Pasqua ebraica e quella  cristiana.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-Implementa nelle situazioni conflittuali e nelle scelte di vita gli insegnamenti  desunti dalla lettura dei </w:t>
            </w:r>
            <w:r w:rsidDel="00000000" w:rsidR="00000000" w:rsidRPr="00000000">
              <w:rPr>
                <w:rtl w:val="0"/>
              </w:rPr>
              <w:t xml:space="preserve">principali episodi dell'Antico Testamento.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- Attua un confronto tra le “domande” proprie della scienza e quelle proprie della religione.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PRINCIPALI SAPERI DISCIPLINARI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Creazione: complementarietà tra scienza-fede.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Bibbia come testo sacro e la sua struttura.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tappe fondamentali della Alleanza di Dio con il popolo d’Israele.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Tradizioni pasquali nella cultura ebraica.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religiosità nell’uomo e la nascita della religione.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risposta della Bibbia alle domande di senso dell’uomo.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95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275"/>
        <w:gridCol w:w="7320"/>
        <w:tblGridChange w:id="0">
          <w:tblGrid>
            <w:gridCol w:w="7275"/>
            <w:gridCol w:w="7320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 OGGETTO DI VALUTAZIONE  1°QUADRIMESTRE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OBIETTIVI DI APPRENDIMENTO OGGETTO DI VALUTAZIONE 2° QUADRIMESTRE</w:t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Attraverso la lettura dell’Antico Testamento rilevare le caratteristiche del Patto  di Alleanza tra Dio e il suo popolo.</w:t>
            </w:r>
          </w:p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Riconoscere  la Bibbia come documento fondamentale della nostra cultura, saperla consultare e distinguere  da altre tipologie di testo.</w:t>
            </w:r>
          </w:p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20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Riferire sinteticamente i  principali episodi biblici  della storia della Salvezza  e trovare delle corrispondenze  con la  propria esperienza culturale ed esistenziale.</w:t>
            </w:r>
          </w:p>
          <w:p w:rsidR="00000000" w:rsidDel="00000000" w:rsidP="00000000" w:rsidRDefault="00000000" w:rsidRPr="00000000" w14:paraId="0000004E">
            <w:pPr>
              <w:spacing w:after="20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ind w:left="36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4">
            <w:pPr>
              <w:spacing w:after="20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Riferire sinteticamente  i  principali episodi biblici  della storia della Salvezza  e attuare delle corrispondenze  con le proprie esperienze di vita.</w:t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Implementa nelle situazioni conflittuali e nelle scelte di vita gli insegnamenti  desunti dalla lettura dei principali episodi dell’Antico Testamento. 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Cogliere  analogie ed alterità tra  la Pasqua ebraica e quella  cristiana.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Riconoscere in Gesù le caratteristiche del Messia ebraico, annunciato dai profeti.</w:t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Distinguere le ipotesi  scientifiche e religiose sull’origine della terra e della vita e attuare un confronto tra le “domande” proprie della scienza e della religione.</w:t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after="20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42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426"/>
        <w:tblGridChange w:id="0">
          <w:tblGrid>
            <w:gridCol w:w="1442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STRATEGIE DIDATTICHE  - APPROCCI METODOLOGICI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Lezione partecipata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Peer Tutoring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Didattica laboratoriale: 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-attività pratica/ludica 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-costruzione dell’esperienza, trasferimento, rielaborazione 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-elaborazione critica dell’errore 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Didattica per problemi  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 EAS: esperienze di realtà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fase preparatoria - problem solving; fase operatoria - learning by doing; fase ristrutturativa – reflective learning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di realtà</w:t>
            </w:r>
          </w:p>
        </w:tc>
      </w:tr>
    </w:tbl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42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426"/>
        <w:tblGridChange w:id="0">
          <w:tblGrid>
            <w:gridCol w:w="1442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MONITORAGGIO - VALUTAZIONE</w:t>
            </w:r>
          </w:p>
        </w:tc>
      </w:tr>
    </w:tbl>
    <w:p w:rsidR="00000000" w:rsidDel="00000000" w:rsidP="00000000" w:rsidRDefault="00000000" w:rsidRPr="00000000" w14:paraId="0000007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TIPOLOGIE DI PROVE </w:t>
      </w:r>
    </w:p>
    <w:p w:rsidR="00000000" w:rsidDel="00000000" w:rsidP="00000000" w:rsidRDefault="00000000" w:rsidRPr="00000000" w14:paraId="0000008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Osservazione diretta in contesti di apprendimento differenti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Analisi delle interazioni verbali, delle argomentazioni e delle meta-riflessioni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Routine scolastiche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Prove scritte/ orali strutturate/semistrutturate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Prove pratiche (esecuzioni strumentali, prove grafiche, elaborati multimediali, artefatti)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Prove esperte o autentiche/compiti di realtà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RUBRICA VALUTAZIONE</w:t>
      </w:r>
    </w:p>
    <w:p w:rsidR="00000000" w:rsidDel="00000000" w:rsidP="00000000" w:rsidRDefault="00000000" w:rsidRPr="00000000" w14:paraId="0000008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37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95"/>
        <w:gridCol w:w="11715"/>
        <w:tblGridChange w:id="0">
          <w:tblGrid>
            <w:gridCol w:w="1995"/>
            <w:gridCol w:w="11715"/>
          </w:tblGrid>
        </w:tblGridChange>
      </w:tblGrid>
      <w:tr>
        <w:trPr>
          <w:cantSplit w:val="0"/>
          <w:trHeight w:val="106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spacing w:line="276" w:lineRule="auto"/>
              <w:ind w:left="-6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OTTIMO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spacing w:line="276" w:lineRule="auto"/>
              <w:ind w:left="-60" w:firstLine="0"/>
              <w:rPr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L’alunno conosce gli argomenti trattati in modo completo e approfondito.</w:t>
            </w:r>
          </w:p>
          <w:p w:rsidR="00000000" w:rsidDel="00000000" w:rsidP="00000000" w:rsidRDefault="00000000" w:rsidRPr="00000000" w14:paraId="0000008E">
            <w:pPr>
              <w:spacing w:line="276" w:lineRule="auto"/>
              <w:ind w:left="-60" w:firstLine="0"/>
              <w:jc w:val="both"/>
              <w:rPr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Usa il linguaggio religioso in modo appropriato. Porta a termine in modo autonomo e responsabile i compiti assegnati. Partecipa in modo costruttivo offrendo il proprio contributo alle attività della classe. Sa rielaborare in modo critico le conoscenze.</w:t>
            </w:r>
          </w:p>
        </w:tc>
      </w:tr>
      <w:tr>
        <w:trPr>
          <w:cantSplit w:val="0"/>
          <w:trHeight w:val="9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spacing w:line="276" w:lineRule="auto"/>
              <w:ind w:left="-6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DISTINTO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spacing w:line="276" w:lineRule="auto"/>
              <w:ind w:left="-60" w:right="60" w:firstLine="0"/>
              <w:jc w:val="both"/>
              <w:rPr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L’alunno conosce in modo completo gli argomenti trattati. Usa il linguaggio religioso in modo abbastanza appropriato. Porta a termine in maniera autonoma i compiti assegnati. Partecipa in modo pertinente e propositivo alle attività. Sa rielaborare in modo critico le conoscenze.</w:t>
            </w:r>
          </w:p>
        </w:tc>
      </w:tr>
      <w:tr>
        <w:trPr>
          <w:cantSplit w:val="0"/>
          <w:trHeight w:val="9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spacing w:line="276" w:lineRule="auto"/>
              <w:ind w:left="-60" w:right="2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BUONO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spacing w:line="276" w:lineRule="auto"/>
              <w:ind w:left="-60" w:right="60" w:firstLine="0"/>
              <w:jc w:val="both"/>
              <w:rPr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L’alunno conosce complessivamente gli argomenti trattati anche se non in modo approfondito. Il linguaggio religioso usato non sempre è appropriato. Porta a termine in autonomia i compiti dove sono coinvolte conoscenze e abilità  che  padroneggia;  gli  altri, con  il  supporto dell’insegnante e dei compagni. Partecipa in modo abbastanza attivo alle attività.</w:t>
            </w:r>
          </w:p>
        </w:tc>
      </w:tr>
      <w:tr>
        <w:trPr>
          <w:cantSplit w:val="0"/>
          <w:trHeight w:val="9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spacing w:line="276" w:lineRule="auto"/>
              <w:ind w:left="-6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SUFFICIENTE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spacing w:line="276" w:lineRule="auto"/>
              <w:ind w:left="-60" w:right="60" w:firstLine="0"/>
              <w:jc w:val="both"/>
              <w:rPr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L’alunno conosce solo in parte gli argomenti trattati e le sue conoscenze sono superficiali. Si esprime con difficoltà utilizzando il linguaggio religioso in maniera non sempre appropriata. Esegue i compiti richiesti con il supporto di domande stimolo e indicazioni dell’adulto o dei compagni. Dimostra parziale interesse e poca partecipazione.</w:t>
            </w:r>
          </w:p>
        </w:tc>
      </w:tr>
      <w:tr>
        <w:trPr>
          <w:cantSplit w:val="0"/>
          <w:trHeight w:val="9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spacing w:line="276" w:lineRule="auto"/>
              <w:ind w:left="-6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INSUFFICIENTE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spacing w:line="276" w:lineRule="auto"/>
              <w:ind w:left="-60" w:right="60" w:firstLine="0"/>
              <w:jc w:val="both"/>
              <w:rPr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L’alunno conosce in modo frammentario o non conosce gli argomenti L’alunno conosce in modo frammentario o non conosce gli argomenti trattati. Non sa usare il linguaggio religioso. Non esegue i compiti assegnati assumendo un atteggiamento di rinuncia alle attività didattiche proposte. Dimostra scarsa attenzione.</w:t>
            </w:r>
          </w:p>
        </w:tc>
      </w:tr>
    </w:tbl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sectPr>
      <w:footerReference r:id="rId10" w:type="default"/>
      <w:pgSz w:h="11906" w:w="16838" w:orient="landscape"/>
      <w:pgMar w:bottom="851" w:top="709" w:left="1134" w:right="1418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Georgia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-"/>
      <w:lvlJc w:val="left"/>
      <w:pPr>
        <w:ind w:left="2160" w:hanging="360"/>
      </w:pPr>
      <w:rPr>
        <w:rFonts w:ascii="Times New Roman" w:cs="Times New Roman" w:eastAsia="Times New Roman" w:hAnsi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e" w:default="1">
    <w:name w:val="Normal"/>
    <w:qFormat w:val="1"/>
    <w:rsid w:val="00A421FA"/>
  </w:style>
  <w:style w:type="paragraph" w:styleId="Titolo1">
    <w:name w:val="heading 1"/>
    <w:basedOn w:val="normal"/>
    <w:next w:val="normal"/>
    <w:rsid w:val="00713C64"/>
    <w:pPr>
      <w:keepNext w:val="1"/>
      <w:spacing w:after="60" w:before="240"/>
      <w:outlineLvl w:val="0"/>
    </w:pPr>
    <w:rPr>
      <w:rFonts w:ascii="Cambria" w:cs="Cambria" w:eastAsia="Cambria" w:hAnsi="Cambria"/>
      <w:b w:val="1"/>
      <w:sz w:val="32"/>
      <w:szCs w:val="32"/>
    </w:rPr>
  </w:style>
  <w:style w:type="paragraph" w:styleId="Titolo2">
    <w:name w:val="heading 2"/>
    <w:basedOn w:val="normal"/>
    <w:next w:val="normal"/>
    <w:rsid w:val="00713C64"/>
    <w:pPr>
      <w:keepNext w:val="1"/>
      <w:jc w:val="both"/>
      <w:outlineLvl w:val="1"/>
    </w:pPr>
    <w:rPr>
      <w:sz w:val="28"/>
      <w:szCs w:val="28"/>
    </w:rPr>
  </w:style>
  <w:style w:type="paragraph" w:styleId="Titolo3">
    <w:name w:val="heading 3"/>
    <w:basedOn w:val="normal"/>
    <w:next w:val="normal"/>
    <w:rsid w:val="00713C64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"/>
    <w:next w:val="normal"/>
    <w:rsid w:val="00713C64"/>
    <w:pPr>
      <w:keepNext w:val="1"/>
      <w:keepLines w:val="1"/>
      <w:spacing w:after="40" w:before="240"/>
      <w:outlineLvl w:val="3"/>
    </w:pPr>
    <w:rPr>
      <w:b w:val="1"/>
    </w:rPr>
  </w:style>
  <w:style w:type="paragraph" w:styleId="Titolo5">
    <w:name w:val="heading 5"/>
    <w:basedOn w:val="normal"/>
    <w:next w:val="normal"/>
    <w:rsid w:val="00713C64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"/>
    <w:next w:val="normal"/>
    <w:rsid w:val="00713C64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" w:customStyle="1">
    <w:name w:val="normal"/>
    <w:rsid w:val="00713C64"/>
  </w:style>
  <w:style w:type="table" w:styleId="TableNormal" w:customStyle="1">
    <w:name w:val="Table Normal"/>
    <w:rsid w:val="00713C64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"/>
    <w:next w:val="normal"/>
    <w:rsid w:val="00713C64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ottotitolo">
    <w:name w:val="Subtitle"/>
    <w:basedOn w:val="normal"/>
    <w:next w:val="normal"/>
    <w:rsid w:val="00713C64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character" w:styleId="Collegamentoipertestuale">
    <w:name w:val="Hyperlink"/>
    <w:semiHidden w:val="1"/>
    <w:unhideWhenUsed w:val="1"/>
    <w:rsid w:val="009541CA"/>
    <w:rPr>
      <w:color w:val="0000ff"/>
      <w:u w:val="single"/>
    </w:rPr>
  </w:style>
  <w:style w:type="paragraph" w:styleId="Intestazione">
    <w:name w:val="header"/>
    <w:basedOn w:val="Normale"/>
    <w:next w:val="Corpodeltesto"/>
    <w:link w:val="IntestazioneCarattere"/>
    <w:semiHidden w:val="1"/>
    <w:unhideWhenUsed w:val="1"/>
    <w:rsid w:val="009541CA"/>
    <w:pPr>
      <w:suppressAutoHyphens w:val="1"/>
      <w:jc w:val="center"/>
    </w:pPr>
    <w:rPr>
      <w:rFonts w:ascii="Tahoma" w:cs="Tahoma" w:hAnsi="Tahoma"/>
      <w:b w:val="1"/>
      <w:bCs w:val="1"/>
      <w:kern w:val="2"/>
      <w:sz w:val="30"/>
      <w:szCs w:val="20"/>
      <w:lang w:eastAsia="zh-CN"/>
    </w:rPr>
  </w:style>
  <w:style w:type="character" w:styleId="IntestazioneCarattere" w:customStyle="1">
    <w:name w:val="Intestazione Carattere"/>
    <w:basedOn w:val="Carpredefinitoparagrafo"/>
    <w:link w:val="Intestazione"/>
    <w:semiHidden w:val="1"/>
    <w:rsid w:val="009541CA"/>
    <w:rPr>
      <w:rFonts w:ascii="Tahoma" w:cs="Tahoma" w:hAnsi="Tahoma"/>
      <w:b w:val="1"/>
      <w:bCs w:val="1"/>
      <w:kern w:val="2"/>
      <w:sz w:val="30"/>
      <w:szCs w:val="20"/>
      <w:lang w:eastAsia="zh-CN"/>
    </w:rPr>
  </w:style>
  <w:style w:type="paragraph" w:styleId="Corpodeltesto">
    <w:name w:val="Body Text"/>
    <w:basedOn w:val="Normale"/>
    <w:link w:val="CorpodeltestoCarattere"/>
    <w:uiPriority w:val="99"/>
    <w:semiHidden w:val="1"/>
    <w:unhideWhenUsed w:val="1"/>
    <w:rsid w:val="009541CA"/>
    <w:pPr>
      <w:spacing w:after="120"/>
    </w:pPr>
  </w:style>
  <w:style w:type="character" w:styleId="CorpodeltestoCarattere" w:customStyle="1">
    <w:name w:val="Corpo del testo Carattere"/>
    <w:basedOn w:val="Carpredefinitoparagrafo"/>
    <w:link w:val="Corpodeltesto"/>
    <w:uiPriority w:val="99"/>
    <w:semiHidden w:val="1"/>
    <w:rsid w:val="009541CA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9541CA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9541CA"/>
    <w:rPr>
      <w:rFonts w:ascii="Tahoma" w:cs="Tahoma" w:hAnsi="Tahoma"/>
      <w:sz w:val="16"/>
      <w:szCs w:val="16"/>
    </w:rPr>
  </w:style>
  <w:style w:type="paragraph" w:styleId="Normale1" w:customStyle="1">
    <w:name w:val="Normale1"/>
    <w:rsid w:val="00231E82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231E82"/>
    <w:pPr>
      <w:spacing w:after="119" w:before="100" w:beforeAutospacing="1"/>
    </w:pPr>
    <w:rPr>
      <w:rFonts w:ascii="Arial Unicode MS" w:cs="Arial Unicode MS" w:eastAsia="Arial Unicode MS" w:hAnsi="Arial Unicode MS"/>
    </w:rPr>
  </w:style>
  <w:style w:type="table" w:styleId="Grigliatabella">
    <w:name w:val="Table Grid"/>
    <w:basedOn w:val="Tabellanormale"/>
    <w:uiPriority w:val="39"/>
    <w:rsid w:val="00231E82"/>
    <w:rPr>
      <w:rFonts w:asciiTheme="minorHAnsi" w:cstheme="minorBidi" w:eastAsiaTheme="minorHAnsi" w:hAnsiTheme="minorHAnsi"/>
      <w:sz w:val="22"/>
      <w:szCs w:val="22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Default" w:customStyle="1">
    <w:name w:val="Default"/>
    <w:rsid w:val="00231E82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 w:val="1"/>
    <w:rsid w:val="00231E8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mailto:BSIC80300R@PEC.ISTRUZIONE.IT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mailto:BSIC80300R@PEC.ISTRUZIONE.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7o/8R1Fr2ICxiarZ7BWOP5xbQQ==">CgMxLjA4AHIhMWVPRjdRNmZCN2ZUUVB2d05sZHpmbWhXSlAtM19xOWZ4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2022-07-20T12:45:00Z</dcterms:created>
</cp:coreProperties>
</file>